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A055C" w14:textId="1B3C466B" w:rsidR="009C011C" w:rsidRPr="008C6380" w:rsidRDefault="00987B84">
      <w:pPr>
        <w:rPr>
          <w:b/>
          <w:bCs/>
        </w:rPr>
      </w:pPr>
      <w:r w:rsidRPr="008C6380">
        <w:rPr>
          <w:b/>
          <w:bCs/>
        </w:rPr>
        <w:t>Philosophy of Religion</w:t>
      </w:r>
    </w:p>
    <w:p w14:paraId="72662ADE" w14:textId="7693F21A" w:rsidR="00987B84" w:rsidRPr="008C6380" w:rsidRDefault="00987B84">
      <w:pPr>
        <w:rPr>
          <w:b/>
          <w:bCs/>
        </w:rPr>
      </w:pPr>
      <w:r w:rsidRPr="008C6380">
        <w:rPr>
          <w:b/>
          <w:bCs/>
        </w:rPr>
        <w:t>Critical thinking</w:t>
      </w:r>
    </w:p>
    <w:p w14:paraId="24BBBD38" w14:textId="7EF1ED93" w:rsidR="006D33BE" w:rsidRDefault="006D33BE">
      <w:r>
        <w:t>Video links</w:t>
      </w:r>
    </w:p>
    <w:p w14:paraId="22342A33" w14:textId="740B74D3" w:rsidR="006D33BE" w:rsidRDefault="006D33BE">
      <w:hyperlink r:id="rId4" w:history="1">
        <w:r w:rsidRPr="00AC24B5">
          <w:rPr>
            <w:rStyle w:val="Hyperlink"/>
          </w:rPr>
          <w:t>https://www.youtube.com/watch?v=faQBrAQ87l4</w:t>
        </w:r>
      </w:hyperlink>
      <w:r>
        <w:t xml:space="preserve"> </w:t>
      </w:r>
    </w:p>
    <w:p w14:paraId="768DC626" w14:textId="69B94CF4" w:rsidR="006D33BE" w:rsidRDefault="006D33BE">
      <w:hyperlink r:id="rId5" w:history="1">
        <w:r w:rsidRPr="00AC24B5">
          <w:rPr>
            <w:rStyle w:val="Hyperlink"/>
          </w:rPr>
          <w:t>https://www.youtube.com/watch?v=kr-My7jyEmg</w:t>
        </w:r>
      </w:hyperlink>
      <w:r>
        <w:t xml:space="preserve"> </w:t>
      </w:r>
    </w:p>
    <w:p w14:paraId="04CA208F" w14:textId="70E630EF" w:rsidR="006D33BE" w:rsidRDefault="006D33BE">
      <w:hyperlink r:id="rId6" w:history="1">
        <w:r w:rsidRPr="00AC24B5">
          <w:rPr>
            <w:rStyle w:val="Hyperlink"/>
          </w:rPr>
          <w:t>https://www.youtube.com/watch?v=2F_LUFIeUk0&amp;t=1s</w:t>
        </w:r>
      </w:hyperlink>
      <w:r>
        <w:t xml:space="preserve"> </w:t>
      </w:r>
    </w:p>
    <w:p w14:paraId="49F023A8" w14:textId="3E630888" w:rsidR="006D33BE" w:rsidRDefault="006D33BE">
      <w:r>
        <w:t>Text</w:t>
      </w:r>
    </w:p>
    <w:p w14:paraId="7764120D" w14:textId="77777777" w:rsidR="006D33BE" w:rsidRPr="006D33BE" w:rsidRDefault="006D33BE" w:rsidP="006D33BE">
      <w:pPr>
        <w:shd w:val="clear" w:color="auto" w:fill="F4F4F4"/>
        <w:spacing w:after="0" w:line="224" w:lineRule="atLeast"/>
        <w:rPr>
          <w:rFonts w:ascii="Open Sans" w:eastAsia="Times New Roman" w:hAnsi="Open Sans" w:cs="Open Sans"/>
          <w:color w:val="000000"/>
          <w:sz w:val="24"/>
          <w:szCs w:val="24"/>
        </w:rPr>
      </w:pPr>
      <w:r w:rsidRPr="006D33BE">
        <w:rPr>
          <w:rFonts w:ascii="Arial" w:eastAsia="Times New Roman" w:hAnsi="Arial" w:cs="Arial"/>
          <w:color w:val="000000"/>
          <w:sz w:val="28"/>
          <w:szCs w:val="28"/>
          <w:bdr w:val="none" w:sz="0" w:space="0" w:color="auto" w:frame="1"/>
        </w:rPr>
        <w:t xml:space="preserve">From: </w:t>
      </w:r>
      <w:proofErr w:type="spellStart"/>
      <w:r w:rsidRPr="006D33BE">
        <w:rPr>
          <w:rFonts w:ascii="Arial" w:eastAsia="Times New Roman" w:hAnsi="Arial" w:cs="Arial"/>
          <w:color w:val="000000"/>
          <w:sz w:val="28"/>
          <w:szCs w:val="28"/>
          <w:bdr w:val="none" w:sz="0" w:space="0" w:color="auto" w:frame="1"/>
        </w:rPr>
        <w:t>Shankara</w:t>
      </w:r>
      <w:proofErr w:type="spellEnd"/>
      <w:r w:rsidRPr="006D33BE">
        <w:rPr>
          <w:rFonts w:ascii="Arial" w:eastAsia="Times New Roman" w:hAnsi="Arial" w:cs="Arial"/>
          <w:color w:val="000000"/>
          <w:sz w:val="28"/>
          <w:szCs w:val="28"/>
          <w:bdr w:val="none" w:sz="0" w:space="0" w:color="auto" w:frame="1"/>
        </w:rPr>
        <w:t>: “Brahman, Creation, and Evil,” </w:t>
      </w:r>
      <w:proofErr w:type="spellStart"/>
      <w:r w:rsidRPr="006D33BE">
        <w:rPr>
          <w:rFonts w:ascii="Open Sans" w:eastAsia="Times New Roman" w:hAnsi="Open Sans" w:cs="Open Sans"/>
          <w:i/>
          <w:iCs/>
          <w:color w:val="000000"/>
          <w:sz w:val="28"/>
          <w:szCs w:val="28"/>
          <w:bdr w:val="none" w:sz="0" w:space="0" w:color="auto" w:frame="1"/>
        </w:rPr>
        <w:t>Brahmasutrabhasya</w:t>
      </w:r>
      <w:proofErr w:type="spellEnd"/>
    </w:p>
    <w:p w14:paraId="55156672" w14:textId="77777777" w:rsidR="006D33BE" w:rsidRPr="006D33BE" w:rsidRDefault="006D33BE" w:rsidP="006D33BE">
      <w:pPr>
        <w:shd w:val="clear" w:color="auto" w:fill="F4F4F4"/>
        <w:spacing w:after="0" w:line="224" w:lineRule="atLeast"/>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w:t>
      </w:r>
    </w:p>
    <w:p w14:paraId="310808A5" w14:textId="77777777" w:rsidR="006D33BE" w:rsidRPr="006D33BE" w:rsidRDefault="006D33BE" w:rsidP="006D33BE">
      <w:pPr>
        <w:shd w:val="clear" w:color="auto" w:fill="F4F4F4"/>
        <w:spacing w:after="0" w:line="224" w:lineRule="atLeast"/>
        <w:ind w:firstLine="720"/>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xml:space="preserve">In order to strengthen the tenet </w:t>
      </w:r>
      <w:proofErr w:type="gramStart"/>
      <w:r w:rsidRPr="006D33BE">
        <w:rPr>
          <w:rFonts w:ascii="Arial" w:eastAsia="Times New Roman" w:hAnsi="Arial" w:cs="Arial"/>
          <w:color w:val="000000"/>
          <w:sz w:val="24"/>
          <w:szCs w:val="24"/>
          <w:bdr w:val="none" w:sz="0" w:space="0" w:color="auto" w:frame="1"/>
        </w:rPr>
        <w:t>which</w:t>
      </w:r>
      <w:proofErr w:type="gramEnd"/>
      <w:r w:rsidRPr="006D33BE">
        <w:rPr>
          <w:rFonts w:ascii="Arial" w:eastAsia="Times New Roman" w:hAnsi="Arial" w:cs="Arial"/>
          <w:color w:val="000000"/>
          <w:sz w:val="24"/>
          <w:szCs w:val="24"/>
          <w:bdr w:val="none" w:sz="0" w:space="0" w:color="auto" w:frame="1"/>
        </w:rPr>
        <w:t xml:space="preserve"> we are at present defending, we follow the procedure of him who shakes a pole planted in the ground in order to test whether it is firmly planted, and raise another objection against the doctrine of the Lord being the cause of the world. – The Lord, it is said, cannot be the cause of the world, because, on that hypothesis, the reproach of inequality of dispensation and cruelty would attach to him. Some beings, viz., the gods and others, he renders eminently happy; others, as for instance the animals, eminently unhappy; to some again, as for instance, men, he allots an intermediate position. To a Lord bringing about such an unequal condition of things, passion and malice would have to be ascribed, just as to any common person acting similarly; while attributes would be contrary to the essential goodness of the Lord affirmed by </w:t>
      </w:r>
      <w:proofErr w:type="spellStart"/>
      <w:r w:rsidRPr="006D33BE">
        <w:rPr>
          <w:rFonts w:ascii="Open Sans" w:eastAsia="Times New Roman" w:hAnsi="Open Sans" w:cs="Open Sans"/>
          <w:i/>
          <w:iCs/>
          <w:color w:val="000000"/>
          <w:sz w:val="24"/>
          <w:szCs w:val="24"/>
          <w:bdr w:val="none" w:sz="0" w:space="0" w:color="auto" w:frame="1"/>
        </w:rPr>
        <w:t>sruti</w:t>
      </w:r>
      <w:proofErr w:type="spellEnd"/>
      <w:r w:rsidRPr="006D33BE">
        <w:rPr>
          <w:rFonts w:ascii="Open Sans" w:eastAsia="Times New Roman" w:hAnsi="Open Sans" w:cs="Open Sans"/>
          <w:i/>
          <w:iCs/>
          <w:color w:val="000000"/>
          <w:sz w:val="24"/>
          <w:szCs w:val="24"/>
          <w:bdr w:val="none" w:sz="0" w:space="0" w:color="auto" w:frame="1"/>
        </w:rPr>
        <w:t xml:space="preserve"> and </w:t>
      </w:r>
      <w:proofErr w:type="spellStart"/>
      <w:r w:rsidRPr="006D33BE">
        <w:rPr>
          <w:rFonts w:ascii="Open Sans" w:eastAsia="Times New Roman" w:hAnsi="Open Sans" w:cs="Open Sans"/>
          <w:i/>
          <w:iCs/>
          <w:color w:val="000000"/>
          <w:sz w:val="24"/>
          <w:szCs w:val="24"/>
          <w:bdr w:val="none" w:sz="0" w:space="0" w:color="auto" w:frame="1"/>
        </w:rPr>
        <w:t>smirt</w:t>
      </w:r>
      <w:r w:rsidRPr="006D33BE">
        <w:rPr>
          <w:rFonts w:ascii="Arial" w:eastAsia="Times New Roman" w:hAnsi="Arial" w:cs="Arial"/>
          <w:color w:val="000000"/>
          <w:sz w:val="24"/>
          <w:szCs w:val="24"/>
          <w:bdr w:val="none" w:sz="0" w:space="0" w:color="auto" w:frame="1"/>
        </w:rPr>
        <w:t>i</w:t>
      </w:r>
      <w:proofErr w:type="spellEnd"/>
      <w:r w:rsidRPr="006D33BE">
        <w:rPr>
          <w:rFonts w:ascii="Arial" w:eastAsia="Times New Roman" w:hAnsi="Arial" w:cs="Arial"/>
          <w:color w:val="000000"/>
          <w:sz w:val="24"/>
          <w:szCs w:val="24"/>
          <w:bdr w:val="none" w:sz="0" w:space="0" w:color="auto" w:frame="1"/>
        </w:rPr>
        <w:t>. Moreover, as the infliction of pain and the final destruction of all creatures would form part of his dispensation, he would have to be taxed with great cruelty, a quality abhorred by low people even. For these two reasons Brahman cannot be the cause of the world.</w:t>
      </w:r>
    </w:p>
    <w:p w14:paraId="1C4064A1" w14:textId="77777777" w:rsidR="006D33BE" w:rsidRPr="006D33BE" w:rsidRDefault="006D33BE" w:rsidP="006D33BE">
      <w:pPr>
        <w:shd w:val="clear" w:color="auto" w:fill="F4F4F4"/>
        <w:spacing w:after="0" w:line="224" w:lineRule="atLeast"/>
        <w:ind w:firstLine="720"/>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xml:space="preserve">The Lord, we reply, cannot be reproached with inequality of dispensation and cruelty, “because he is bound by regards.” If the Lord on his own account, without any extraneous regards, produced this unequal creation, he would expose himself to blame; but the fact is, that in creating he is bound by certain regards, i.e., he </w:t>
      </w:r>
      <w:proofErr w:type="gramStart"/>
      <w:r w:rsidRPr="006D33BE">
        <w:rPr>
          <w:rFonts w:ascii="Arial" w:eastAsia="Times New Roman" w:hAnsi="Arial" w:cs="Arial"/>
          <w:color w:val="000000"/>
          <w:sz w:val="24"/>
          <w:szCs w:val="24"/>
          <w:bdr w:val="none" w:sz="0" w:space="0" w:color="auto" w:frame="1"/>
        </w:rPr>
        <w:t>has to</w:t>
      </w:r>
      <w:proofErr w:type="gramEnd"/>
      <w:r w:rsidRPr="006D33BE">
        <w:rPr>
          <w:rFonts w:ascii="Arial" w:eastAsia="Times New Roman" w:hAnsi="Arial" w:cs="Arial"/>
          <w:color w:val="000000"/>
          <w:sz w:val="24"/>
          <w:szCs w:val="24"/>
          <w:bdr w:val="none" w:sz="0" w:space="0" w:color="auto" w:frame="1"/>
        </w:rPr>
        <w:t xml:space="preserve"> look to merit and demerit. Hence, the circumstance of the creation being unequal is due to the merit and demerit of the living creatures </w:t>
      </w:r>
      <w:proofErr w:type="gramStart"/>
      <w:r w:rsidRPr="006D33BE">
        <w:rPr>
          <w:rFonts w:ascii="Arial" w:eastAsia="Times New Roman" w:hAnsi="Arial" w:cs="Arial"/>
          <w:color w:val="000000"/>
          <w:sz w:val="24"/>
          <w:szCs w:val="24"/>
          <w:bdr w:val="none" w:sz="0" w:space="0" w:color="auto" w:frame="1"/>
        </w:rPr>
        <w:t>created, and</w:t>
      </w:r>
      <w:proofErr w:type="gramEnd"/>
      <w:r w:rsidRPr="006D33BE">
        <w:rPr>
          <w:rFonts w:ascii="Arial" w:eastAsia="Times New Roman" w:hAnsi="Arial" w:cs="Arial"/>
          <w:color w:val="000000"/>
          <w:sz w:val="24"/>
          <w:szCs w:val="24"/>
          <w:bdr w:val="none" w:sz="0" w:space="0" w:color="auto" w:frame="1"/>
        </w:rPr>
        <w:t xml:space="preserve"> is not a fault for which the Lord is to blame. The position of the Lord is analogous to that of </w:t>
      </w:r>
      <w:proofErr w:type="spellStart"/>
      <w:r w:rsidRPr="006D33BE">
        <w:rPr>
          <w:rFonts w:ascii="Arial" w:eastAsia="Times New Roman" w:hAnsi="Arial" w:cs="Arial"/>
          <w:color w:val="000000"/>
          <w:sz w:val="24"/>
          <w:szCs w:val="24"/>
          <w:bdr w:val="none" w:sz="0" w:space="0" w:color="auto" w:frame="1"/>
        </w:rPr>
        <w:t>Parjanya</w:t>
      </w:r>
      <w:proofErr w:type="spellEnd"/>
      <w:r w:rsidRPr="006D33BE">
        <w:rPr>
          <w:rFonts w:ascii="Arial" w:eastAsia="Times New Roman" w:hAnsi="Arial" w:cs="Arial"/>
          <w:color w:val="000000"/>
          <w:sz w:val="24"/>
          <w:szCs w:val="24"/>
          <w:bdr w:val="none" w:sz="0" w:space="0" w:color="auto" w:frame="1"/>
        </w:rPr>
        <w:t xml:space="preserve">, the Giver of rain. For as </w:t>
      </w:r>
      <w:proofErr w:type="spellStart"/>
      <w:r w:rsidRPr="006D33BE">
        <w:rPr>
          <w:rFonts w:ascii="Arial" w:eastAsia="Times New Roman" w:hAnsi="Arial" w:cs="Arial"/>
          <w:color w:val="000000"/>
          <w:sz w:val="24"/>
          <w:szCs w:val="24"/>
          <w:bdr w:val="none" w:sz="0" w:space="0" w:color="auto" w:frame="1"/>
        </w:rPr>
        <w:t>Parjanya</w:t>
      </w:r>
      <w:proofErr w:type="spellEnd"/>
      <w:r w:rsidRPr="006D33BE">
        <w:rPr>
          <w:rFonts w:ascii="Arial" w:eastAsia="Times New Roman" w:hAnsi="Arial" w:cs="Arial"/>
          <w:color w:val="000000"/>
          <w:sz w:val="24"/>
          <w:szCs w:val="24"/>
          <w:bdr w:val="none" w:sz="0" w:space="0" w:color="auto" w:frame="1"/>
        </w:rPr>
        <w:t xml:space="preserve"> is the common cause of the production of rice, barley, and other plants, while the difference between the various species is due to the various potentials lying hidden in the respective seeds, so the Lord is the common cause of the creation of gods, men, etc., while the differences between these classes of beings are due to the different merit belonging to the individual souls. Hence, the Lord, being bound by regards, cannot be reproached with inequality of dispensation and cruelty. . ..</w:t>
      </w:r>
    </w:p>
    <w:p w14:paraId="6D61414A" w14:textId="77777777" w:rsidR="006D33BE" w:rsidRPr="006D33BE" w:rsidRDefault="006D33BE" w:rsidP="006D33BE">
      <w:pPr>
        <w:shd w:val="clear" w:color="auto" w:fill="F4F4F4"/>
        <w:spacing w:after="0" w:line="224" w:lineRule="atLeast"/>
        <w:ind w:firstLine="720"/>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xml:space="preserve">But—an objection is raised—the passage, “Being only this was in the beginning, one, without a second,” affirms that before the creation there was no distinction and consequently no merit on account of which the creation might have become unequal. And if we assume the Lord to have been guided in his dispensations by the actions of living beings </w:t>
      </w:r>
      <w:proofErr w:type="gramStart"/>
      <w:r w:rsidRPr="006D33BE">
        <w:rPr>
          <w:rFonts w:ascii="Arial" w:eastAsia="Times New Roman" w:hAnsi="Arial" w:cs="Arial"/>
          <w:color w:val="000000"/>
          <w:sz w:val="24"/>
          <w:szCs w:val="24"/>
          <w:bdr w:val="none" w:sz="0" w:space="0" w:color="auto" w:frame="1"/>
        </w:rPr>
        <w:t>subsequent to</w:t>
      </w:r>
      <w:proofErr w:type="gramEnd"/>
      <w:r w:rsidRPr="006D33BE">
        <w:rPr>
          <w:rFonts w:ascii="Arial" w:eastAsia="Times New Roman" w:hAnsi="Arial" w:cs="Arial"/>
          <w:color w:val="000000"/>
          <w:sz w:val="24"/>
          <w:szCs w:val="24"/>
          <w:bdr w:val="none" w:sz="0" w:space="0" w:color="auto" w:frame="1"/>
        </w:rPr>
        <w:t xml:space="preserve"> the creation, we involve ourselves in the circular reasoning </w:t>
      </w:r>
      <w:r w:rsidRPr="006D33BE">
        <w:rPr>
          <w:rFonts w:ascii="Arial" w:eastAsia="Times New Roman" w:hAnsi="Arial" w:cs="Arial"/>
          <w:color w:val="000000"/>
          <w:sz w:val="24"/>
          <w:szCs w:val="24"/>
          <w:bdr w:val="none" w:sz="0" w:space="0" w:color="auto" w:frame="1"/>
        </w:rPr>
        <w:lastRenderedPageBreak/>
        <w:t xml:space="preserve">that work depends on diversity of condition of life, and diversity of condition on work. The Lord may be considered as acting </w:t>
      </w:r>
      <w:proofErr w:type="gramStart"/>
      <w:r w:rsidRPr="006D33BE">
        <w:rPr>
          <w:rFonts w:ascii="Arial" w:eastAsia="Times New Roman" w:hAnsi="Arial" w:cs="Arial"/>
          <w:color w:val="000000"/>
          <w:sz w:val="24"/>
          <w:szCs w:val="24"/>
          <w:bdr w:val="none" w:sz="0" w:space="0" w:color="auto" w:frame="1"/>
        </w:rPr>
        <w:t>with regard to</w:t>
      </w:r>
      <w:proofErr w:type="gramEnd"/>
      <w:r w:rsidRPr="006D33BE">
        <w:rPr>
          <w:rFonts w:ascii="Arial" w:eastAsia="Times New Roman" w:hAnsi="Arial" w:cs="Arial"/>
          <w:color w:val="000000"/>
          <w:sz w:val="24"/>
          <w:szCs w:val="24"/>
          <w:bdr w:val="none" w:sz="0" w:space="0" w:color="auto" w:frame="1"/>
        </w:rPr>
        <w:t xml:space="preserve"> religious merit after distinction had once arisen; but as before that the cause of inequality, viz., merit, did not exist, it follows that the first creation must have been free from inequalities.</w:t>
      </w:r>
    </w:p>
    <w:p w14:paraId="471294B1" w14:textId="77777777" w:rsidR="006D33BE" w:rsidRPr="006D33BE" w:rsidRDefault="006D33BE" w:rsidP="006D33BE">
      <w:pPr>
        <w:shd w:val="clear" w:color="auto" w:fill="F4F4F4"/>
        <w:spacing w:after="0" w:line="224" w:lineRule="atLeast"/>
        <w:ind w:firstLine="720"/>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xml:space="preserve">This objection we meet by the remark, that the transmigratory world is without beginning. – The objection would be valid if the world had a beginning; but as it is without beginning, merit and inequality are, like seed and sprout, causes as well as causes, and there is therefore no logical objection to their </w:t>
      </w:r>
      <w:proofErr w:type="gramStart"/>
      <w:r w:rsidRPr="006D33BE">
        <w:rPr>
          <w:rFonts w:ascii="Arial" w:eastAsia="Times New Roman" w:hAnsi="Arial" w:cs="Arial"/>
          <w:color w:val="000000"/>
          <w:sz w:val="24"/>
          <w:szCs w:val="24"/>
          <w:bdr w:val="none" w:sz="0" w:space="0" w:color="auto" w:frame="1"/>
        </w:rPr>
        <w:t>operation.. . .</w:t>
      </w:r>
      <w:proofErr w:type="gramEnd"/>
    </w:p>
    <w:p w14:paraId="2EDF17DA" w14:textId="77777777" w:rsidR="006D33BE" w:rsidRPr="006D33BE" w:rsidRDefault="006D33BE" w:rsidP="006D33BE">
      <w:pPr>
        <w:shd w:val="clear" w:color="auto" w:fill="F4F4F4"/>
        <w:spacing w:after="0" w:line="224" w:lineRule="atLeast"/>
        <w:ind w:firstLine="720"/>
        <w:rPr>
          <w:rFonts w:ascii="Open Sans" w:eastAsia="Times New Roman" w:hAnsi="Open Sans" w:cs="Open Sans"/>
          <w:color w:val="000000"/>
          <w:sz w:val="24"/>
          <w:szCs w:val="24"/>
        </w:rPr>
      </w:pPr>
      <w:r w:rsidRPr="006D33BE">
        <w:rPr>
          <w:rFonts w:ascii="Arial" w:eastAsia="Times New Roman" w:hAnsi="Arial" w:cs="Arial"/>
          <w:color w:val="000000"/>
          <w:sz w:val="24"/>
          <w:szCs w:val="24"/>
          <w:bdr w:val="none" w:sz="0" w:space="0" w:color="auto" w:frame="1"/>
        </w:rPr>
        <w:t xml:space="preserve">The beginningless of the world recommends itself to reason. For if it had a beginning it would follow that, the world springing into existence without a cause, the released souls also would again </w:t>
      </w:r>
      <w:proofErr w:type="gramStart"/>
      <w:r w:rsidRPr="006D33BE">
        <w:rPr>
          <w:rFonts w:ascii="Arial" w:eastAsia="Times New Roman" w:hAnsi="Arial" w:cs="Arial"/>
          <w:color w:val="000000"/>
          <w:sz w:val="24"/>
          <w:szCs w:val="24"/>
          <w:bdr w:val="none" w:sz="0" w:space="0" w:color="auto" w:frame="1"/>
        </w:rPr>
        <w:t>enter into</w:t>
      </w:r>
      <w:proofErr w:type="gramEnd"/>
      <w:r w:rsidRPr="006D33BE">
        <w:rPr>
          <w:rFonts w:ascii="Arial" w:eastAsia="Times New Roman" w:hAnsi="Arial" w:cs="Arial"/>
          <w:color w:val="000000"/>
          <w:sz w:val="24"/>
          <w:szCs w:val="24"/>
          <w:bdr w:val="none" w:sz="0" w:space="0" w:color="auto" w:frame="1"/>
        </w:rPr>
        <w:t xml:space="preserve"> the circle of transmigratory existence; and further, as then there would exist no determining cause of the unequal distribution of pain and pleasure, we should have to acquiesce in the doctrine of rewards and punishments being allotted, without reference to previous good or bad actions. That the Lord is not the cause of inequality has already been remarked. Nor can </w:t>
      </w:r>
      <w:proofErr w:type="spellStart"/>
      <w:r w:rsidRPr="006D33BE">
        <w:rPr>
          <w:rFonts w:ascii="Arial" w:eastAsia="Times New Roman" w:hAnsi="Arial" w:cs="Arial"/>
          <w:color w:val="000000"/>
          <w:sz w:val="24"/>
          <w:szCs w:val="24"/>
          <w:bdr w:val="none" w:sz="0" w:space="0" w:color="auto" w:frame="1"/>
        </w:rPr>
        <w:t>Nesience</w:t>
      </w:r>
      <w:proofErr w:type="spellEnd"/>
      <w:r w:rsidRPr="006D33BE">
        <w:rPr>
          <w:rFonts w:ascii="Arial" w:eastAsia="Times New Roman" w:hAnsi="Arial" w:cs="Arial"/>
          <w:color w:val="000000"/>
          <w:sz w:val="24"/>
          <w:szCs w:val="24"/>
          <w:bdr w:val="none" w:sz="0" w:space="0" w:color="auto" w:frame="1"/>
        </w:rPr>
        <w:t xml:space="preserve"> by itself be the cause, as it is of a uniform nature. On the other hand, Nescience may be the cause of inequality, if it be considered as having regard to merit accruing from action produced by the mental impressions of wrath, hatred, and other afflicting passions. Without merit and demerit nobody can </w:t>
      </w:r>
      <w:proofErr w:type="gramStart"/>
      <w:r w:rsidRPr="006D33BE">
        <w:rPr>
          <w:rFonts w:ascii="Arial" w:eastAsia="Times New Roman" w:hAnsi="Arial" w:cs="Arial"/>
          <w:color w:val="000000"/>
          <w:sz w:val="24"/>
          <w:szCs w:val="24"/>
          <w:bdr w:val="none" w:sz="0" w:space="0" w:color="auto" w:frame="1"/>
        </w:rPr>
        <w:t>enter into</w:t>
      </w:r>
      <w:proofErr w:type="gramEnd"/>
      <w:r w:rsidRPr="006D33BE">
        <w:rPr>
          <w:rFonts w:ascii="Arial" w:eastAsia="Times New Roman" w:hAnsi="Arial" w:cs="Arial"/>
          <w:color w:val="000000"/>
          <w:sz w:val="24"/>
          <w:szCs w:val="24"/>
          <w:bdr w:val="none" w:sz="0" w:space="0" w:color="auto" w:frame="1"/>
        </w:rPr>
        <w:t xml:space="preserve"> existence, and again, without a body merit and demerit cannot be formed; so that—on the doctrine of the world having a beginning—we are led into a logical seesaw. The opposite doctrine, on the other hand, explains all matters in a manner analogous to the case of the seed and sprout, so that no difficulty remains. (E. Deutsch and J. van </w:t>
      </w:r>
      <w:proofErr w:type="spellStart"/>
      <w:r w:rsidRPr="006D33BE">
        <w:rPr>
          <w:rFonts w:ascii="Arial" w:eastAsia="Times New Roman" w:hAnsi="Arial" w:cs="Arial"/>
          <w:color w:val="000000"/>
          <w:sz w:val="24"/>
          <w:szCs w:val="24"/>
          <w:bdr w:val="none" w:sz="0" w:space="0" w:color="auto" w:frame="1"/>
        </w:rPr>
        <w:t>Buitenen</w:t>
      </w:r>
      <w:proofErr w:type="spellEnd"/>
      <w:r w:rsidRPr="006D33BE">
        <w:rPr>
          <w:rFonts w:ascii="Arial" w:eastAsia="Times New Roman" w:hAnsi="Arial" w:cs="Arial"/>
          <w:color w:val="000000"/>
          <w:sz w:val="24"/>
          <w:szCs w:val="24"/>
          <w:bdr w:val="none" w:sz="0" w:space="0" w:color="auto" w:frame="1"/>
        </w:rPr>
        <w:t>, eds. 1971. </w:t>
      </w:r>
      <w:r w:rsidRPr="006D33BE">
        <w:rPr>
          <w:rFonts w:ascii="Open Sans" w:eastAsia="Times New Roman" w:hAnsi="Open Sans" w:cs="Open Sans"/>
          <w:i/>
          <w:iCs/>
          <w:color w:val="000000"/>
          <w:sz w:val="24"/>
          <w:szCs w:val="24"/>
          <w:bdr w:val="none" w:sz="0" w:space="0" w:color="auto" w:frame="1"/>
        </w:rPr>
        <w:t xml:space="preserve">A Sourcebook of </w:t>
      </w:r>
      <w:proofErr w:type="spellStart"/>
      <w:r w:rsidRPr="006D33BE">
        <w:rPr>
          <w:rFonts w:ascii="Open Sans" w:eastAsia="Times New Roman" w:hAnsi="Open Sans" w:cs="Open Sans"/>
          <w:i/>
          <w:iCs/>
          <w:color w:val="000000"/>
          <w:sz w:val="24"/>
          <w:szCs w:val="24"/>
          <w:bdr w:val="none" w:sz="0" w:space="0" w:color="auto" w:frame="1"/>
        </w:rPr>
        <w:t>Advaita</w:t>
      </w:r>
      <w:proofErr w:type="spellEnd"/>
      <w:r w:rsidRPr="006D33BE">
        <w:rPr>
          <w:rFonts w:ascii="Open Sans" w:eastAsia="Times New Roman" w:hAnsi="Open Sans" w:cs="Open Sans"/>
          <w:i/>
          <w:iCs/>
          <w:color w:val="000000"/>
          <w:sz w:val="24"/>
          <w:szCs w:val="24"/>
          <w:bdr w:val="none" w:sz="0" w:space="0" w:color="auto" w:frame="1"/>
        </w:rPr>
        <w:t xml:space="preserve"> Vedanta</w:t>
      </w:r>
      <w:r w:rsidRPr="006D33BE">
        <w:rPr>
          <w:rFonts w:ascii="Arial" w:eastAsia="Times New Roman" w:hAnsi="Arial" w:cs="Arial"/>
          <w:color w:val="000000"/>
          <w:sz w:val="24"/>
          <w:szCs w:val="24"/>
          <w:bdr w:val="none" w:sz="0" w:space="0" w:color="auto" w:frame="1"/>
        </w:rPr>
        <w:t>. University of Hawaii Press, pp. 191-192.)</w:t>
      </w:r>
    </w:p>
    <w:p w14:paraId="784B1DC6" w14:textId="736FFDC0" w:rsidR="006D33BE" w:rsidRDefault="006D33BE"/>
    <w:p w14:paraId="2A66964D" w14:textId="77C0EB48" w:rsidR="008C6380" w:rsidRPr="008C6380" w:rsidRDefault="008C6380">
      <w:pPr>
        <w:rPr>
          <w:b/>
          <w:bCs/>
        </w:rPr>
      </w:pPr>
      <w:r w:rsidRPr="008C6380">
        <w:rPr>
          <w:b/>
          <w:bCs/>
        </w:rPr>
        <w:t>QUESTIONS</w:t>
      </w:r>
    </w:p>
    <w:p w14:paraId="66CF94C8" w14:textId="51CB4B07" w:rsidR="00987B84" w:rsidRDefault="00987B84">
      <w:r>
        <w:t>1.</w:t>
      </w:r>
    </w:p>
    <w:p w14:paraId="7F0A303E" w14:textId="4D894362" w:rsidR="00987B84" w:rsidRDefault="00987B84">
      <w:pPr>
        <w:rPr>
          <w:rFonts w:ascii="Arial" w:hAnsi="Arial" w:cs="Arial"/>
          <w:color w:val="000000"/>
          <w:shd w:val="clear" w:color="auto" w:fill="F4F4F4"/>
        </w:rPr>
      </w:pPr>
      <w:r>
        <w:rPr>
          <w:rFonts w:ascii="Arial" w:hAnsi="Arial" w:cs="Arial"/>
          <w:color w:val="000000"/>
          <w:shd w:val="clear" w:color="auto" w:fill="F4F4F4"/>
        </w:rPr>
        <w:t xml:space="preserve">Most theistic argument aim to show that </w:t>
      </w:r>
      <w:proofErr w:type="gramStart"/>
      <w:r>
        <w:rPr>
          <w:rFonts w:ascii="Arial" w:hAnsi="Arial" w:cs="Arial"/>
          <w:color w:val="000000"/>
          <w:shd w:val="clear" w:color="auto" w:fill="F4F4F4"/>
        </w:rPr>
        <w:t>God's  powers</w:t>
      </w:r>
      <w:proofErr w:type="gramEnd"/>
      <w:r>
        <w:rPr>
          <w:rFonts w:ascii="Arial" w:hAnsi="Arial" w:cs="Arial"/>
          <w:color w:val="000000"/>
          <w:shd w:val="clear" w:color="auto" w:fill="F4F4F4"/>
        </w:rPr>
        <w:t xml:space="preserve"> are necessary to explain the existence of the universe or some fundamental property of the universe. Stephen Hawking (PHN, p. 78) denies that we need God to explain the universe. Explain why this is a problem for theism. Consider whether the views of other scientists (p. 78) suggest an </w:t>
      </w:r>
      <w:proofErr w:type="spellStart"/>
      <w:r>
        <w:rPr>
          <w:rFonts w:ascii="Arial" w:hAnsi="Arial" w:cs="Arial"/>
          <w:color w:val="000000"/>
          <w:shd w:val="clear" w:color="auto" w:fill="F4F4F4"/>
        </w:rPr>
        <w:t>adquate</w:t>
      </w:r>
      <w:proofErr w:type="spellEnd"/>
      <w:r>
        <w:rPr>
          <w:rFonts w:ascii="Arial" w:hAnsi="Arial" w:cs="Arial"/>
          <w:color w:val="000000"/>
          <w:shd w:val="clear" w:color="auto" w:fill="F4F4F4"/>
        </w:rPr>
        <w:t xml:space="preserve"> response to the problem. </w:t>
      </w:r>
    </w:p>
    <w:p w14:paraId="25EAF5B9" w14:textId="04E7DF66" w:rsidR="00987B84" w:rsidRDefault="00987B84">
      <w:pPr>
        <w:rPr>
          <w:rFonts w:ascii="Arial" w:hAnsi="Arial" w:cs="Arial"/>
          <w:color w:val="000000"/>
          <w:shd w:val="clear" w:color="auto" w:fill="F4F4F4"/>
        </w:rPr>
      </w:pPr>
      <w:r>
        <w:rPr>
          <w:rFonts w:ascii="Arial" w:hAnsi="Arial" w:cs="Arial"/>
          <w:color w:val="000000"/>
          <w:shd w:val="clear" w:color="auto" w:fill="F4F4F4"/>
        </w:rPr>
        <w:t>2.</w:t>
      </w:r>
    </w:p>
    <w:p w14:paraId="4E71EEC0" w14:textId="28139B4D" w:rsidR="00987B84" w:rsidRDefault="00987B84">
      <w:r>
        <w:rPr>
          <w:rFonts w:ascii="Arial" w:hAnsi="Arial" w:cs="Arial"/>
          <w:color w:val="000000"/>
          <w:shd w:val="clear" w:color="auto" w:fill="F4F4F4"/>
        </w:rPr>
        <w:t>Explain the principle of credulity and what makes it a reasonable principle.  Explain Rowe's argument against the principle of credulity regarding theism. Give reasons for thinking religious experience is good reason for theism or not. </w:t>
      </w:r>
    </w:p>
    <w:sectPr w:rsidR="00987B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84"/>
    <w:rsid w:val="006D33BE"/>
    <w:rsid w:val="008C6380"/>
    <w:rsid w:val="00987B84"/>
    <w:rsid w:val="009C0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BAB3"/>
  <w15:chartTrackingRefBased/>
  <w15:docId w15:val="{46A72C4B-2238-4207-A2D4-A8D1296D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3BE"/>
    <w:rPr>
      <w:color w:val="0000FF"/>
      <w:u w:val="single"/>
    </w:rPr>
  </w:style>
  <w:style w:type="character" w:styleId="UnresolvedMention">
    <w:name w:val="Unresolved Mention"/>
    <w:basedOn w:val="DefaultParagraphFont"/>
    <w:uiPriority w:val="99"/>
    <w:semiHidden/>
    <w:unhideWhenUsed/>
    <w:rsid w:val="006D33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8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2F_LUFIeUk0&amp;t=1s" TargetMode="External"/><Relationship Id="rId5" Type="http://schemas.openxmlformats.org/officeDocument/2006/relationships/hyperlink" Target="https://www.youtube.com/watch?v=kr-My7jyEmg" TargetMode="External"/><Relationship Id="rId4" Type="http://schemas.openxmlformats.org/officeDocument/2006/relationships/hyperlink" Target="https://www.youtube.com/watch?v=faQBrAQ87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Magnot Yimga, Saint Jonath (smagnotyimga)</dc:creator>
  <cp:keywords/>
  <dc:description/>
  <cp:lastModifiedBy>S: Magnot Yimga, Saint Jonath (smagnotyimga)</cp:lastModifiedBy>
  <cp:revision>1</cp:revision>
  <dcterms:created xsi:type="dcterms:W3CDTF">2021-09-14T15:01:00Z</dcterms:created>
  <dcterms:modified xsi:type="dcterms:W3CDTF">2021-09-14T22:17:00Z</dcterms:modified>
</cp:coreProperties>
</file>